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F14A9B">
        <w:rPr>
          <w:b/>
          <w:sz w:val="28"/>
          <w:szCs w:val="28"/>
        </w:rPr>
        <w:t>7286-7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0A0023" w:rsidRPr="00B80E6E" w:rsidRDefault="000A0023" w:rsidP="00F14A9B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14A9B" w:rsidRPr="00F14A9B">
        <w:rPr>
          <w:b/>
          <w:sz w:val="28"/>
          <w:szCs w:val="28"/>
        </w:rPr>
        <w:t xml:space="preserve">О внесении изменения в статью 3 Закона Удмуртской Республики «О транспортном налоге в Удмуртской </w:t>
      </w:r>
      <w:r w:rsidR="00F14A9B">
        <w:rPr>
          <w:b/>
          <w:sz w:val="28"/>
          <w:szCs w:val="28"/>
        </w:rPr>
        <w:t>Р</w:t>
      </w:r>
      <w:r w:rsidR="00F14A9B" w:rsidRPr="00F14A9B">
        <w:rPr>
          <w:b/>
          <w:sz w:val="28"/>
          <w:szCs w:val="28"/>
        </w:rPr>
        <w:t>еспублике»</w:t>
      </w: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F14A9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F14A9B" w:rsidRPr="00F14A9B">
        <w:rPr>
          <w:sz w:val="28"/>
          <w:szCs w:val="28"/>
        </w:rPr>
        <w:t xml:space="preserve">№ 7286-7зп </w:t>
      </w:r>
      <w:bookmarkStart w:id="2" w:name="_GoBack"/>
      <w:bookmarkEnd w:id="2"/>
      <w:r w:rsidR="00F14A9B" w:rsidRPr="00F14A9B">
        <w:rPr>
          <w:sz w:val="28"/>
          <w:szCs w:val="28"/>
        </w:rPr>
        <w:t>«О внесении изменения в статью 3 Закона Удмуртской Республики «О транспортном налоге в Удмуртской Республике»</w:t>
      </w:r>
      <w:r w:rsidR="00440A8C" w:rsidRPr="00440A8C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00" w:rsidRDefault="002B5600" w:rsidP="002C49BF">
      <w:r>
        <w:separator/>
      </w:r>
    </w:p>
  </w:endnote>
  <w:endnote w:type="continuationSeparator" w:id="0">
    <w:p w:rsidR="002B5600" w:rsidRDefault="002B5600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00" w:rsidRDefault="002B5600" w:rsidP="002C49BF">
      <w:r>
        <w:separator/>
      </w:r>
    </w:p>
  </w:footnote>
  <w:footnote w:type="continuationSeparator" w:id="0">
    <w:p w:rsidR="002B5600" w:rsidRDefault="002B5600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9B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6A1"/>
    <w:rsid w:val="002B5600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14A9B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6AC36B-3B34-48C0-AF05-8790E2C0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2022-11-14T04:42:00Z</dcterms:created>
  <dcterms:modified xsi:type="dcterms:W3CDTF">2022-11-14T04:44:00Z</dcterms:modified>
</cp:coreProperties>
</file>